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5CEC" w14:textId="0A531836" w:rsidR="00144621" w:rsidRPr="00A176BC" w:rsidRDefault="00A566FB" w:rsidP="00144621">
      <w:pPr>
        <w:rPr>
          <w:rFonts w:ascii="Arial" w:hAnsi="Arial" w:cs="Arial"/>
          <w:color w:val="009999"/>
          <w:sz w:val="32"/>
          <w:szCs w:val="32"/>
        </w:rPr>
      </w:pPr>
      <w:r>
        <w:rPr>
          <w:rFonts w:ascii="Arial" w:hAnsi="Arial" w:cs="Arial"/>
          <w:color w:val="009999"/>
          <w:sz w:val="40"/>
          <w:szCs w:val="40"/>
        </w:rPr>
        <w:t>Main changes to the approved Hackney Carriage</w:t>
      </w:r>
      <w:r w:rsidR="00A075B3">
        <w:rPr>
          <w:rFonts w:ascii="Arial" w:hAnsi="Arial" w:cs="Arial"/>
          <w:color w:val="009999"/>
          <w:sz w:val="40"/>
          <w:szCs w:val="40"/>
        </w:rPr>
        <w:t>/</w:t>
      </w:r>
      <w:r>
        <w:rPr>
          <w:rFonts w:ascii="Arial" w:hAnsi="Arial" w:cs="Arial"/>
          <w:color w:val="009999"/>
          <w:sz w:val="40"/>
          <w:szCs w:val="40"/>
        </w:rPr>
        <w:t xml:space="preserve">Private Hire Driver and Vehicle Rule books and Operator </w:t>
      </w:r>
      <w:r w:rsidR="00A075B3">
        <w:rPr>
          <w:rFonts w:ascii="Arial" w:hAnsi="Arial" w:cs="Arial"/>
          <w:color w:val="009999"/>
          <w:sz w:val="40"/>
          <w:szCs w:val="40"/>
        </w:rPr>
        <w:t>R</w:t>
      </w:r>
      <w:r>
        <w:rPr>
          <w:rFonts w:ascii="Arial" w:hAnsi="Arial" w:cs="Arial"/>
          <w:color w:val="009999"/>
          <w:sz w:val="40"/>
          <w:szCs w:val="40"/>
        </w:rPr>
        <w:t xml:space="preserve">ule </w:t>
      </w:r>
      <w:r w:rsidR="00A075B3">
        <w:rPr>
          <w:rFonts w:ascii="Arial" w:hAnsi="Arial" w:cs="Arial"/>
          <w:color w:val="009999"/>
          <w:sz w:val="40"/>
          <w:szCs w:val="40"/>
        </w:rPr>
        <w:t>B</w:t>
      </w:r>
      <w:r>
        <w:rPr>
          <w:rFonts w:ascii="Arial" w:hAnsi="Arial" w:cs="Arial"/>
          <w:color w:val="009999"/>
          <w:sz w:val="40"/>
          <w:szCs w:val="40"/>
        </w:rPr>
        <w:t>ooks approved by the Licensing and Enforcement Committee September 2021</w:t>
      </w:r>
    </w:p>
    <w:tbl>
      <w:tblPr>
        <w:tblStyle w:val="TableGrid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2835"/>
        <w:gridCol w:w="2903"/>
        <w:gridCol w:w="45"/>
      </w:tblGrid>
      <w:tr w:rsidR="00A566FB" w:rsidRPr="00A176BC" w14:paraId="5FE5D3E9" w14:textId="77777777" w:rsidTr="00A566FB">
        <w:trPr>
          <w:gridAfter w:val="1"/>
          <w:wAfter w:w="45" w:type="dxa"/>
        </w:trPr>
        <w:tc>
          <w:tcPr>
            <w:tcW w:w="454" w:type="dxa"/>
          </w:tcPr>
          <w:p w14:paraId="6B3C9C15" w14:textId="77777777" w:rsidR="00A566FB" w:rsidRPr="00A176BC" w:rsidRDefault="00A566FB" w:rsidP="005E0461">
            <w:pPr>
              <w:rPr>
                <w:rFonts w:ascii="Arial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3CB12A" w14:textId="77777777" w:rsidR="00A566FB" w:rsidRPr="00A176BC" w:rsidRDefault="00A566FB" w:rsidP="005E0461">
            <w:pPr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</w:pPr>
            <w:r w:rsidRPr="00A176BC"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  <w:t>Topic</w:t>
            </w:r>
          </w:p>
        </w:tc>
        <w:tc>
          <w:tcPr>
            <w:tcW w:w="2835" w:type="dxa"/>
          </w:tcPr>
          <w:p w14:paraId="1A8115A8" w14:textId="347388D8" w:rsidR="00A566FB" w:rsidRPr="00A176BC" w:rsidRDefault="00A566FB" w:rsidP="005E0461">
            <w:pPr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  <w:t>Changes</w:t>
            </w:r>
          </w:p>
        </w:tc>
        <w:tc>
          <w:tcPr>
            <w:tcW w:w="2903" w:type="dxa"/>
          </w:tcPr>
          <w:p w14:paraId="7B38BDAF" w14:textId="51C7FAEB" w:rsidR="00A566FB" w:rsidRPr="00A176BC" w:rsidRDefault="00A566FB" w:rsidP="005E0461">
            <w:pPr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</w:pPr>
            <w:r w:rsidRPr="00A176BC"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  <w:t>Impact on licence holders</w:t>
            </w:r>
          </w:p>
          <w:p w14:paraId="65288E3E" w14:textId="45B99292" w:rsidR="00A566FB" w:rsidRPr="00A176BC" w:rsidRDefault="00A566FB" w:rsidP="005E0461">
            <w:pPr>
              <w:rPr>
                <w:rFonts w:ascii="Arial" w:hAnsi="Arial" w:cs="Arial"/>
                <w:bCs/>
                <w:color w:val="31849B" w:themeColor="accent5" w:themeShade="BF"/>
                <w:sz w:val="28"/>
                <w:szCs w:val="28"/>
              </w:rPr>
            </w:pPr>
          </w:p>
        </w:tc>
      </w:tr>
      <w:tr w:rsidR="00A566FB" w:rsidRPr="00A176BC" w14:paraId="2D8E1C23" w14:textId="77777777" w:rsidTr="00A566FB">
        <w:trPr>
          <w:gridAfter w:val="1"/>
          <w:wAfter w:w="45" w:type="dxa"/>
          <w:trHeight w:val="689"/>
        </w:trPr>
        <w:tc>
          <w:tcPr>
            <w:tcW w:w="454" w:type="dxa"/>
          </w:tcPr>
          <w:p w14:paraId="1A77617E" w14:textId="59517739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0E3ECD9" w14:textId="77777777" w:rsidR="00A566FB" w:rsidRPr="00A176BC" w:rsidRDefault="00A566FB" w:rsidP="005E0461">
            <w:pPr>
              <w:rPr>
                <w:rFonts w:ascii="Arial" w:hAnsi="Arial" w:cs="Arial"/>
                <w:b/>
              </w:rPr>
            </w:pPr>
            <w:r w:rsidRPr="00A176BC">
              <w:rPr>
                <w:rFonts w:ascii="Arial" w:hAnsi="Arial" w:cs="Arial"/>
                <w:b/>
              </w:rPr>
              <w:t>Frequency of DBS Enhanced Criminal Checks</w:t>
            </w:r>
          </w:p>
        </w:tc>
        <w:tc>
          <w:tcPr>
            <w:tcW w:w="2835" w:type="dxa"/>
          </w:tcPr>
          <w:p w14:paraId="104EB8E0" w14:textId="77777777" w:rsidR="00A566FB" w:rsidRDefault="00A566FB" w:rsidP="00672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drivers will be required to have a DBS Enhanced check e</w:t>
            </w:r>
            <w:r w:rsidRPr="00A176BC">
              <w:rPr>
                <w:rFonts w:ascii="Arial" w:hAnsi="Arial" w:cs="Arial"/>
              </w:rPr>
              <w:t xml:space="preserve">very six months. </w:t>
            </w:r>
          </w:p>
          <w:p w14:paraId="0B6BC7F0" w14:textId="77777777" w:rsidR="0084621A" w:rsidRDefault="0084621A" w:rsidP="00672BC0">
            <w:pPr>
              <w:rPr>
                <w:rFonts w:ascii="Arial" w:hAnsi="Arial" w:cs="Arial"/>
              </w:rPr>
            </w:pPr>
          </w:p>
          <w:p w14:paraId="4B041960" w14:textId="26E7D2BA" w:rsidR="0084621A" w:rsidRDefault="0084621A" w:rsidP="0084621A">
            <w:pPr>
              <w:rPr>
                <w:rFonts w:ascii="Arial" w:hAnsi="Arial" w:cs="Arial"/>
              </w:rPr>
            </w:pPr>
            <w:r w:rsidRPr="0084621A">
              <w:rPr>
                <w:rFonts w:ascii="Arial" w:hAnsi="Arial" w:cs="Arial"/>
              </w:rPr>
              <w:t>The DBS check must satisfy the following:</w:t>
            </w:r>
          </w:p>
          <w:p w14:paraId="268C03F0" w14:textId="77777777" w:rsidR="0084621A" w:rsidRPr="0084621A" w:rsidRDefault="0084621A" w:rsidP="0084621A">
            <w:pPr>
              <w:rPr>
                <w:rFonts w:ascii="Arial" w:hAnsi="Arial" w:cs="Arial"/>
              </w:rPr>
            </w:pPr>
          </w:p>
          <w:p w14:paraId="774E53A9" w14:textId="77777777" w:rsidR="0084621A" w:rsidRPr="0084621A" w:rsidRDefault="0084621A" w:rsidP="0084621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84621A">
              <w:rPr>
                <w:rFonts w:ascii="Arial" w:hAnsi="Arial" w:cs="Arial"/>
              </w:rPr>
              <w:t>Workforce must state ‘Other Workforce’</w:t>
            </w:r>
          </w:p>
          <w:p w14:paraId="12EC67CB" w14:textId="647FC3E9" w:rsidR="0084621A" w:rsidRPr="0084621A" w:rsidRDefault="0084621A" w:rsidP="0084621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84621A">
              <w:rPr>
                <w:rFonts w:ascii="Arial" w:hAnsi="Arial" w:cs="Arial"/>
              </w:rPr>
              <w:t>Child and Adult Barring lists must be included</w:t>
            </w:r>
            <w:r>
              <w:rPr>
                <w:rFonts w:ascii="Arial" w:hAnsi="Arial" w:cs="Arial"/>
              </w:rPr>
              <w:t>.</w:t>
            </w:r>
          </w:p>
          <w:p w14:paraId="379D2C4D" w14:textId="77777777" w:rsidR="0084621A" w:rsidRDefault="0084621A" w:rsidP="00672BC0">
            <w:pPr>
              <w:rPr>
                <w:rFonts w:ascii="Arial" w:hAnsi="Arial" w:cs="Arial"/>
              </w:rPr>
            </w:pPr>
          </w:p>
          <w:p w14:paraId="18EE2820" w14:textId="77777777" w:rsidR="0084621A" w:rsidRDefault="0084621A" w:rsidP="00672BC0">
            <w:pPr>
              <w:rPr>
                <w:rFonts w:ascii="Arial" w:hAnsi="Arial" w:cs="Arial"/>
              </w:rPr>
            </w:pPr>
          </w:p>
          <w:p w14:paraId="64786EC7" w14:textId="23B95B3E" w:rsidR="0084621A" w:rsidRPr="00A176BC" w:rsidRDefault="0084621A" w:rsidP="00672BC0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7B3EA6B3" w14:textId="4E0B001B" w:rsidR="00A566FB" w:rsidRPr="00A176BC" w:rsidRDefault="00A566FB" w:rsidP="005E0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drivers should have subscribed to the update service by 31</w:t>
            </w:r>
            <w:r w:rsidRPr="00A566F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December 2021 so no financial</w:t>
            </w:r>
            <w:r w:rsidRPr="00A176BC">
              <w:rPr>
                <w:rFonts w:ascii="Arial" w:hAnsi="Arial" w:cs="Arial"/>
              </w:rPr>
              <w:t xml:space="preserve"> impact.</w:t>
            </w:r>
          </w:p>
        </w:tc>
      </w:tr>
      <w:tr w:rsidR="00A566FB" w:rsidRPr="00A176BC" w14:paraId="0E44EDA2" w14:textId="77777777" w:rsidTr="00A566FB">
        <w:trPr>
          <w:gridAfter w:val="1"/>
          <w:wAfter w:w="45" w:type="dxa"/>
        </w:trPr>
        <w:tc>
          <w:tcPr>
            <w:tcW w:w="454" w:type="dxa"/>
          </w:tcPr>
          <w:p w14:paraId="3FDA2EFA" w14:textId="300BD2F4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048F281" w14:textId="77777777" w:rsidR="00A566FB" w:rsidRPr="00A176BC" w:rsidRDefault="00A566FB" w:rsidP="005E0461">
            <w:pPr>
              <w:rPr>
                <w:rFonts w:ascii="Arial" w:hAnsi="Arial" w:cs="Arial"/>
                <w:b/>
              </w:rPr>
            </w:pPr>
            <w:r w:rsidRPr="00A176BC">
              <w:rPr>
                <w:rFonts w:ascii="Arial" w:hAnsi="Arial" w:cs="Arial"/>
                <w:b/>
              </w:rPr>
              <w:t xml:space="preserve">Time period for licence holders to notify the Council of arrest, </w:t>
            </w:r>
            <w:proofErr w:type="gramStart"/>
            <w:r w:rsidRPr="00A176BC">
              <w:rPr>
                <w:rFonts w:ascii="Arial" w:hAnsi="Arial" w:cs="Arial"/>
                <w:b/>
              </w:rPr>
              <w:t>charges</w:t>
            </w:r>
            <w:proofErr w:type="gramEnd"/>
            <w:r w:rsidRPr="00A176BC">
              <w:rPr>
                <w:rFonts w:ascii="Arial" w:hAnsi="Arial" w:cs="Arial"/>
                <w:b/>
              </w:rPr>
              <w:t xml:space="preserve"> and offences</w:t>
            </w:r>
          </w:p>
        </w:tc>
        <w:tc>
          <w:tcPr>
            <w:tcW w:w="2835" w:type="dxa"/>
          </w:tcPr>
          <w:p w14:paraId="0E2F47FB" w14:textId="77777777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  <w:bCs/>
              </w:rPr>
              <w:t>48 hours</w:t>
            </w:r>
            <w:r w:rsidRPr="00A176BC">
              <w:rPr>
                <w:rFonts w:ascii="Arial" w:hAnsi="Arial" w:cs="Arial"/>
              </w:rPr>
              <w:t xml:space="preserve"> for arrest and release, charge or conviction of any sexual offence, any offence involving dishonesty or violence and any motoring offence. </w:t>
            </w:r>
          </w:p>
          <w:p w14:paraId="46E91E5B" w14:textId="77777777" w:rsidR="00A566FB" w:rsidRPr="00A176BC" w:rsidRDefault="00A566FB" w:rsidP="005E0461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783E6F68" w14:textId="3B793E8D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No significant impact on licence holders</w:t>
            </w:r>
          </w:p>
        </w:tc>
      </w:tr>
      <w:tr w:rsidR="00A566FB" w:rsidRPr="00A176BC" w14:paraId="41213F4D" w14:textId="77777777" w:rsidTr="00A566FB">
        <w:tc>
          <w:tcPr>
            <w:tcW w:w="454" w:type="dxa"/>
          </w:tcPr>
          <w:p w14:paraId="055D1548" w14:textId="6ECDF625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F060BD3" w14:textId="77777777" w:rsidR="00A566FB" w:rsidRPr="00A176BC" w:rsidRDefault="00A566FB" w:rsidP="005E0461">
            <w:pPr>
              <w:rPr>
                <w:rFonts w:ascii="Arial" w:hAnsi="Arial" w:cs="Arial"/>
                <w:b/>
                <w:color w:val="31849B" w:themeColor="accent5" w:themeShade="BF"/>
              </w:rPr>
            </w:pPr>
            <w:r w:rsidRPr="00A176BC">
              <w:rPr>
                <w:rFonts w:ascii="Arial" w:hAnsi="Arial" w:cs="Arial"/>
                <w:b/>
              </w:rPr>
              <w:t>How to complain Signage in vehicles</w:t>
            </w:r>
          </w:p>
        </w:tc>
        <w:tc>
          <w:tcPr>
            <w:tcW w:w="2835" w:type="dxa"/>
          </w:tcPr>
          <w:p w14:paraId="5C146183" w14:textId="5F25A1AB" w:rsidR="00A566FB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 xml:space="preserve">Signage to be displayed in vehicles giving guidance for passengers </w:t>
            </w:r>
            <w:r w:rsidR="00A075B3">
              <w:rPr>
                <w:rFonts w:ascii="Arial" w:hAnsi="Arial" w:cs="Arial"/>
              </w:rPr>
              <w:t>on</w:t>
            </w:r>
            <w:r w:rsidRPr="00A176BC">
              <w:rPr>
                <w:rFonts w:ascii="Arial" w:hAnsi="Arial" w:cs="Arial"/>
              </w:rPr>
              <w:t xml:space="preserve"> how to complain and displayed where it can easily be read. </w:t>
            </w:r>
          </w:p>
          <w:p w14:paraId="41B8062C" w14:textId="77777777" w:rsidR="00A075B3" w:rsidRPr="00A176BC" w:rsidRDefault="00A075B3" w:rsidP="005E0461">
            <w:pPr>
              <w:rPr>
                <w:rFonts w:ascii="Arial" w:hAnsi="Arial" w:cs="Arial"/>
                <w:b/>
                <w:bCs/>
              </w:rPr>
            </w:pPr>
          </w:p>
          <w:p w14:paraId="14EDC1DF" w14:textId="77777777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Failure to display could lead to suspension and a possible review of their licence.</w:t>
            </w:r>
          </w:p>
          <w:p w14:paraId="00335558" w14:textId="77777777" w:rsidR="00A566FB" w:rsidRPr="00A176BC" w:rsidRDefault="00A566FB" w:rsidP="005E0461">
            <w:pPr>
              <w:rPr>
                <w:rFonts w:ascii="Arial" w:hAnsi="Arial" w:cs="Arial"/>
                <w:b/>
                <w:color w:val="31849B" w:themeColor="accent5" w:themeShade="BF"/>
              </w:rPr>
            </w:pPr>
          </w:p>
        </w:tc>
        <w:tc>
          <w:tcPr>
            <w:tcW w:w="2948" w:type="dxa"/>
            <w:gridSpan w:val="2"/>
          </w:tcPr>
          <w:p w14:paraId="4C5DAF77" w14:textId="1A189BA3" w:rsidR="00A566FB" w:rsidRPr="00A176BC" w:rsidRDefault="00A566FB" w:rsidP="005E0461">
            <w:pPr>
              <w:rPr>
                <w:rFonts w:ascii="Arial" w:hAnsi="Arial" w:cs="Arial"/>
                <w:b/>
                <w:color w:val="31849B" w:themeColor="accent5" w:themeShade="BF"/>
              </w:rPr>
            </w:pPr>
            <w:r w:rsidRPr="00A176BC">
              <w:rPr>
                <w:rFonts w:ascii="Arial" w:hAnsi="Arial" w:cs="Arial"/>
              </w:rPr>
              <w:t xml:space="preserve">Licence holders will need to display an additional sign in the vehicle. </w:t>
            </w:r>
            <w:r w:rsidR="00A075B3">
              <w:rPr>
                <w:rFonts w:ascii="Arial" w:hAnsi="Arial" w:cs="Arial"/>
              </w:rPr>
              <w:t>This will be rolled out during the renewal process.</w:t>
            </w:r>
          </w:p>
        </w:tc>
      </w:tr>
      <w:tr w:rsidR="00A566FB" w:rsidRPr="00A176BC" w14:paraId="37C4130F" w14:textId="77777777" w:rsidTr="00A566FB">
        <w:trPr>
          <w:gridAfter w:val="1"/>
          <w:wAfter w:w="45" w:type="dxa"/>
        </w:trPr>
        <w:tc>
          <w:tcPr>
            <w:tcW w:w="454" w:type="dxa"/>
          </w:tcPr>
          <w:p w14:paraId="33863162" w14:textId="46153BF0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E215039" w14:textId="77777777" w:rsidR="00A566FB" w:rsidRPr="00A176BC" w:rsidRDefault="00A566FB" w:rsidP="005E0461">
            <w:pPr>
              <w:pStyle w:val="Heading2"/>
              <w:outlineLvl w:val="1"/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</w:pPr>
            <w:bookmarkStart w:id="0" w:name="_Toc63672292"/>
            <w:r w:rsidRPr="00A176BC"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  <w:t>Immediate suspension and revocation of licences</w:t>
            </w:r>
            <w:bookmarkEnd w:id="0"/>
          </w:p>
          <w:p w14:paraId="1F0F6976" w14:textId="77777777" w:rsidR="00A566FB" w:rsidRPr="00A176BC" w:rsidRDefault="00A566FB" w:rsidP="005E046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BCD8453" w14:textId="66A59E34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 xml:space="preserve">Where there are concerns that cannot wait until the next </w:t>
            </w:r>
            <w:r>
              <w:rPr>
                <w:rFonts w:ascii="Arial" w:hAnsi="Arial" w:cs="Arial"/>
              </w:rPr>
              <w:t>L</w:t>
            </w:r>
            <w:r w:rsidRPr="00A176BC">
              <w:rPr>
                <w:rFonts w:ascii="Arial" w:hAnsi="Arial" w:cs="Arial"/>
              </w:rPr>
              <w:t>icensing</w:t>
            </w:r>
            <w:r>
              <w:rPr>
                <w:rFonts w:ascii="Arial" w:hAnsi="Arial" w:cs="Arial"/>
              </w:rPr>
              <w:t xml:space="preserve"> and Enforcement</w:t>
            </w:r>
            <w:r w:rsidRPr="00A176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Committee</w:t>
            </w:r>
            <w:r w:rsidRPr="00A176BC">
              <w:rPr>
                <w:rFonts w:ascii="Arial" w:hAnsi="Arial" w:cs="Arial"/>
              </w:rPr>
              <w:t>, Officers will be able to decide if immediate action is necessary including to suspend or revoke the licence.</w:t>
            </w:r>
          </w:p>
          <w:p w14:paraId="565A4662" w14:textId="77777777" w:rsidR="00A566FB" w:rsidRPr="00A176BC" w:rsidRDefault="00A566FB" w:rsidP="005E0461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604AFC76" w14:textId="5078CD41" w:rsidR="00A566FB" w:rsidRPr="00A176BC" w:rsidRDefault="00A566FB" w:rsidP="005E04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This gives more reflexibility for officers to take immediate action if there is a possible public risk</w:t>
            </w:r>
          </w:p>
        </w:tc>
      </w:tr>
      <w:tr w:rsidR="00A566FB" w:rsidRPr="00A176BC" w14:paraId="76D59EDC" w14:textId="77777777" w:rsidTr="00A566FB">
        <w:trPr>
          <w:gridAfter w:val="1"/>
          <w:wAfter w:w="45" w:type="dxa"/>
          <w:trHeight w:val="274"/>
        </w:trPr>
        <w:tc>
          <w:tcPr>
            <w:tcW w:w="454" w:type="dxa"/>
          </w:tcPr>
          <w:p w14:paraId="781BF845" w14:textId="72E79FC4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4105664" w14:textId="77777777" w:rsidR="00A566FB" w:rsidRPr="00A176BC" w:rsidRDefault="00A566FB" w:rsidP="005E0461">
            <w:pPr>
              <w:pStyle w:val="Heading2"/>
              <w:outlineLvl w:val="1"/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</w:pPr>
            <w:bookmarkStart w:id="1" w:name="_Toc63672295"/>
            <w:r w:rsidRPr="00A176BC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  <w:t>Mandatory Training</w:t>
            </w:r>
            <w:bookmarkEnd w:id="1"/>
            <w:r w:rsidRPr="00A176BC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1CF26BF" w14:textId="77777777" w:rsidR="00A566FB" w:rsidRPr="00A176BC" w:rsidRDefault="00A566FB" w:rsidP="005E04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A31B650" w14:textId="2FC9BB5C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Existing licensees will be required to undertake refresher training every three years.</w:t>
            </w:r>
          </w:p>
          <w:p w14:paraId="402C059C" w14:textId="77777777" w:rsidR="00A566FB" w:rsidRPr="00A176BC" w:rsidRDefault="00A566FB" w:rsidP="005E0461">
            <w:pPr>
              <w:rPr>
                <w:rFonts w:ascii="Arial" w:hAnsi="Arial" w:cs="Arial"/>
                <w:b/>
                <w:color w:val="31849B" w:themeColor="accent5" w:themeShade="BF"/>
              </w:rPr>
            </w:pPr>
          </w:p>
        </w:tc>
        <w:tc>
          <w:tcPr>
            <w:tcW w:w="2903" w:type="dxa"/>
          </w:tcPr>
          <w:p w14:paraId="1AE0C088" w14:textId="37BB1312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This is an additional cost and time commitment for existing licence holders.</w:t>
            </w:r>
          </w:p>
          <w:p w14:paraId="2B13693A" w14:textId="77777777" w:rsidR="00A566FB" w:rsidRPr="00A176BC" w:rsidRDefault="00A566FB" w:rsidP="005E0461">
            <w:pPr>
              <w:rPr>
                <w:rFonts w:ascii="Arial" w:hAnsi="Arial" w:cs="Arial"/>
              </w:rPr>
            </w:pPr>
          </w:p>
          <w:p w14:paraId="19735AA9" w14:textId="77777777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Likely cost of the training will be between £50 and £70.</w:t>
            </w:r>
          </w:p>
          <w:p w14:paraId="67A117C9" w14:textId="5E4D3AEB" w:rsidR="00A566FB" w:rsidRPr="00A176BC" w:rsidRDefault="00A566FB" w:rsidP="005E0461">
            <w:pPr>
              <w:rPr>
                <w:rFonts w:ascii="Arial" w:hAnsi="Arial" w:cs="Arial"/>
              </w:rPr>
            </w:pPr>
          </w:p>
          <w:p w14:paraId="53DA423B" w14:textId="0FCF84C9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 xml:space="preserve">The requirement for refresher training will be within 3 years of the policy being approved due to the current economic climate. </w:t>
            </w:r>
          </w:p>
          <w:p w14:paraId="73E016BF" w14:textId="6EAFEE25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 xml:space="preserve"> </w:t>
            </w:r>
          </w:p>
        </w:tc>
      </w:tr>
      <w:tr w:rsidR="00A566FB" w:rsidRPr="00A176BC" w14:paraId="23809B5D" w14:textId="77777777" w:rsidTr="00A075B3">
        <w:trPr>
          <w:gridAfter w:val="1"/>
          <w:wAfter w:w="45" w:type="dxa"/>
          <w:trHeight w:val="1698"/>
        </w:trPr>
        <w:tc>
          <w:tcPr>
            <w:tcW w:w="454" w:type="dxa"/>
          </w:tcPr>
          <w:p w14:paraId="36776463" w14:textId="18B23162" w:rsidR="00A566FB" w:rsidRPr="00A176BC" w:rsidRDefault="00A075B3" w:rsidP="005E0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D530D79" w14:textId="77777777" w:rsidR="00A566FB" w:rsidRPr="00A176BC" w:rsidRDefault="00A566FB" w:rsidP="005E0461">
            <w:pPr>
              <w:pStyle w:val="Heading2"/>
              <w:outlineLvl w:val="1"/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</w:pPr>
            <w:bookmarkStart w:id="2" w:name="_Toc63672298"/>
            <w:r w:rsidRPr="00A176BC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  <w:t>Criminality checks for vehicle proprietors</w:t>
            </w:r>
            <w:bookmarkEnd w:id="2"/>
          </w:p>
          <w:p w14:paraId="163896D4" w14:textId="77777777" w:rsidR="00A566FB" w:rsidRPr="00A176BC" w:rsidRDefault="00A566FB" w:rsidP="005E046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803A8C8" w14:textId="77777777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Licensed vehicle proprietors must provide an annual basic disclosure certificate from the DBS unless they are also a licensed driver.</w:t>
            </w:r>
          </w:p>
          <w:p w14:paraId="7F6ED279" w14:textId="77777777" w:rsidR="00A566FB" w:rsidRPr="00A176BC" w:rsidRDefault="00A566FB" w:rsidP="005E0461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19206FC1" w14:textId="51C86F80" w:rsidR="00A566FB" w:rsidRPr="00A176BC" w:rsidRDefault="00A566FB" w:rsidP="005E0461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The Cost of a basic DBS is currently £23</w:t>
            </w:r>
            <w:r w:rsidR="00A075B3">
              <w:rPr>
                <w:rFonts w:ascii="Arial" w:hAnsi="Arial" w:cs="Arial"/>
              </w:rPr>
              <w:t xml:space="preserve"> if not a holder of a Council issued </w:t>
            </w:r>
            <w:proofErr w:type="gramStart"/>
            <w:r w:rsidR="00A075B3">
              <w:rPr>
                <w:rFonts w:ascii="Arial" w:hAnsi="Arial" w:cs="Arial"/>
              </w:rPr>
              <w:t>drivers</w:t>
            </w:r>
            <w:proofErr w:type="gramEnd"/>
            <w:r w:rsidR="00A075B3">
              <w:rPr>
                <w:rFonts w:ascii="Arial" w:hAnsi="Arial" w:cs="Arial"/>
              </w:rPr>
              <w:t xml:space="preserve"> licence.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0"/>
            </w:tblGrid>
            <w:tr w:rsidR="00A566FB" w:rsidRPr="00823624" w14:paraId="647C4235" w14:textId="77777777">
              <w:trPr>
                <w:trHeight w:val="647"/>
              </w:trPr>
              <w:tc>
                <w:tcPr>
                  <w:tcW w:w="2670" w:type="dxa"/>
                </w:tcPr>
                <w:p w14:paraId="44FE2272" w14:textId="7FEBF6C4" w:rsidR="00A566FB" w:rsidRPr="00823624" w:rsidRDefault="00A566FB" w:rsidP="008236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98D79A5" w14:textId="269E11DF" w:rsidR="00A566FB" w:rsidRPr="00A176BC" w:rsidRDefault="00A566FB" w:rsidP="005E0461">
            <w:pPr>
              <w:rPr>
                <w:rFonts w:ascii="Arial" w:hAnsi="Arial" w:cs="Arial"/>
              </w:rPr>
            </w:pPr>
          </w:p>
        </w:tc>
      </w:tr>
      <w:tr w:rsidR="00A566FB" w:rsidRPr="00A176BC" w14:paraId="1AA90CF0" w14:textId="77777777" w:rsidTr="00A566FB">
        <w:trPr>
          <w:gridAfter w:val="1"/>
          <w:wAfter w:w="45" w:type="dxa"/>
        </w:trPr>
        <w:tc>
          <w:tcPr>
            <w:tcW w:w="454" w:type="dxa"/>
          </w:tcPr>
          <w:p w14:paraId="17D51242" w14:textId="35564748" w:rsidR="00A566FB" w:rsidRPr="00A176BC" w:rsidRDefault="00A075B3" w:rsidP="00D9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42A2ECA" w14:textId="341C5DE1" w:rsidR="00A566FB" w:rsidRPr="00A176BC" w:rsidRDefault="00A566FB" w:rsidP="00D9354F">
            <w:pPr>
              <w:pStyle w:val="Heading2"/>
              <w:outlineLvl w:val="1"/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</w:pPr>
            <w:bookmarkStart w:id="3" w:name="_Toc63672301"/>
            <w:r w:rsidRPr="00A176BC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  <w:t>Criminality checks for private hire operators</w:t>
            </w:r>
            <w:bookmarkEnd w:id="3"/>
          </w:p>
          <w:p w14:paraId="4151D9CB" w14:textId="77777777" w:rsidR="00A566FB" w:rsidRPr="00A176BC" w:rsidRDefault="00A566FB" w:rsidP="00D9354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E850A3C" w14:textId="77777777" w:rsidR="00A566FB" w:rsidRPr="00A176BC" w:rsidRDefault="00A566FB" w:rsidP="00D9354F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 xml:space="preserve">Licensed private hire operators must provide an annual basic disclosure check from the DBS unless they are also a licensed driver </w:t>
            </w:r>
          </w:p>
          <w:p w14:paraId="10E6627D" w14:textId="77777777" w:rsidR="00A566FB" w:rsidRPr="00A176BC" w:rsidRDefault="00A566FB" w:rsidP="00D9354F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715D12D9" w14:textId="653ADD07" w:rsidR="00A566FB" w:rsidRPr="00A176BC" w:rsidRDefault="00A566FB" w:rsidP="00D9354F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Small impact as nearly all licensed operators licensed by Gloucester City Council also hold a driver licence.</w:t>
            </w:r>
          </w:p>
        </w:tc>
      </w:tr>
      <w:tr w:rsidR="00A566FB" w:rsidRPr="00A176BC" w14:paraId="305F9C94" w14:textId="77777777" w:rsidTr="00A566FB">
        <w:trPr>
          <w:gridAfter w:val="1"/>
          <w:wAfter w:w="45" w:type="dxa"/>
        </w:trPr>
        <w:tc>
          <w:tcPr>
            <w:tcW w:w="454" w:type="dxa"/>
          </w:tcPr>
          <w:p w14:paraId="626221A3" w14:textId="7B1AEA8A" w:rsidR="00A566FB" w:rsidRPr="00A176BC" w:rsidRDefault="00A075B3" w:rsidP="00D9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9B14ADF" w14:textId="77777777" w:rsidR="00A566FB" w:rsidRPr="00A176BC" w:rsidRDefault="00A566FB" w:rsidP="00D9354F">
            <w:pPr>
              <w:pStyle w:val="Heading2"/>
              <w:outlineLvl w:val="1"/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</w:pPr>
            <w:bookmarkStart w:id="4" w:name="_Toc63672302"/>
            <w:r w:rsidRPr="00A176BC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</w:rPr>
              <w:t>Private Hire Operator Booking and dispatch staff</w:t>
            </w:r>
            <w:bookmarkEnd w:id="4"/>
          </w:p>
          <w:p w14:paraId="519232FD" w14:textId="77777777" w:rsidR="00A566FB" w:rsidRPr="00A176BC" w:rsidRDefault="00A566FB" w:rsidP="00D9354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05B0EC7" w14:textId="7033136B" w:rsidR="00A566FB" w:rsidRPr="00A176BC" w:rsidRDefault="00A566FB" w:rsidP="00A075B3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Private hire operators must have written policies and procedures in place to ensure criminality checks are undertaken on all booking and dispatch staff at appropriate intervals and</w:t>
            </w:r>
            <w:r w:rsidR="00A075B3">
              <w:rPr>
                <w:rFonts w:ascii="Arial" w:hAnsi="Arial" w:cs="Arial"/>
              </w:rPr>
              <w:t xml:space="preserve"> </w:t>
            </w:r>
            <w:r w:rsidRPr="00A176BC">
              <w:rPr>
                <w:rFonts w:ascii="Arial" w:hAnsi="Arial" w:cs="Arial"/>
              </w:rPr>
              <w:t>set out its approach on employing staff that are ex-offenders.</w:t>
            </w:r>
          </w:p>
          <w:p w14:paraId="7052E652" w14:textId="77777777" w:rsidR="00A566FB" w:rsidRPr="00A176BC" w:rsidRDefault="00A566FB" w:rsidP="00D9354F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Where a booking is   outsourced the operator must ensure the third-party have adequate arrangements in place as outlined above.</w:t>
            </w:r>
          </w:p>
        </w:tc>
        <w:tc>
          <w:tcPr>
            <w:tcW w:w="2903" w:type="dxa"/>
          </w:tcPr>
          <w:p w14:paraId="375AC5B6" w14:textId="6BD76434" w:rsidR="00A566FB" w:rsidRPr="00A176BC" w:rsidRDefault="00A566FB" w:rsidP="00D9354F">
            <w:pPr>
              <w:rPr>
                <w:rFonts w:ascii="Arial" w:hAnsi="Arial" w:cs="Arial"/>
              </w:rPr>
            </w:pPr>
            <w:r w:rsidRPr="00A176BC">
              <w:rPr>
                <w:rFonts w:ascii="Arial" w:hAnsi="Arial" w:cs="Arial"/>
              </w:rPr>
              <w:t>Some impact on operators who must develop policies and procedures. Basic criminal conviction disclosure cost is £23.</w:t>
            </w:r>
          </w:p>
        </w:tc>
      </w:tr>
    </w:tbl>
    <w:p w14:paraId="16449A34" w14:textId="1C5695BA" w:rsidR="007B4DA9" w:rsidRPr="00A176BC" w:rsidRDefault="00A075B3" w:rsidP="00A075B3">
      <w:pPr>
        <w:rPr>
          <w:rFonts w:ascii="Arial" w:hAnsi="Arial" w:cs="Arial"/>
        </w:rPr>
      </w:pPr>
      <w:r w:rsidRPr="00A176BC">
        <w:rPr>
          <w:rFonts w:ascii="Arial" w:hAnsi="Arial" w:cs="Arial"/>
        </w:rPr>
        <w:t xml:space="preserve"> </w:t>
      </w:r>
    </w:p>
    <w:sectPr w:rsidR="007B4DA9" w:rsidRPr="00A176BC" w:rsidSect="004D0199">
      <w:footerReference w:type="default" r:id="rId7"/>
      <w:headerReference w:type="first" r:id="rId8"/>
      <w:pgSz w:w="11906" w:h="16838"/>
      <w:pgMar w:top="1440" w:right="1134" w:bottom="1440" w:left="849" w:header="708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DC576" w14:textId="77777777" w:rsidR="00624B66" w:rsidRDefault="00624B66" w:rsidP="00B36F0A">
      <w:pPr>
        <w:spacing w:after="0" w:line="240" w:lineRule="auto"/>
      </w:pPr>
      <w:r>
        <w:separator/>
      </w:r>
    </w:p>
  </w:endnote>
  <w:endnote w:type="continuationSeparator" w:id="0">
    <w:p w14:paraId="37228F47" w14:textId="77777777" w:rsidR="00624B66" w:rsidRDefault="00624B66" w:rsidP="00B3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7152651"/>
      <w:docPartObj>
        <w:docPartGallery w:val="Page Numbers (Bottom of Page)"/>
        <w:docPartUnique/>
      </w:docPartObj>
    </w:sdtPr>
    <w:sdtEndPr/>
    <w:sdtContent>
      <w:p w14:paraId="4D8EB7DF" w14:textId="77777777" w:rsidR="00F27969" w:rsidRDefault="00847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8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30CFBC" w14:textId="77777777" w:rsidR="00F27969" w:rsidRDefault="00F27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4CA0B" w14:textId="77777777" w:rsidR="00624B66" w:rsidRDefault="00624B66" w:rsidP="00B36F0A">
      <w:pPr>
        <w:spacing w:after="0" w:line="240" w:lineRule="auto"/>
      </w:pPr>
      <w:r>
        <w:separator/>
      </w:r>
    </w:p>
  </w:footnote>
  <w:footnote w:type="continuationSeparator" w:id="0">
    <w:p w14:paraId="3CC49729" w14:textId="77777777" w:rsidR="00624B66" w:rsidRDefault="00624B66" w:rsidP="00B3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D203" w14:textId="33AA17B1" w:rsidR="00F27969" w:rsidRPr="00144621" w:rsidRDefault="008D3071" w:rsidP="00144621">
    <w:pPr>
      <w:pStyle w:val="Header"/>
    </w:pPr>
    <w:r w:rsidRPr="001446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C41"/>
    <w:multiLevelType w:val="hybridMultilevel"/>
    <w:tmpl w:val="31F0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3BEB"/>
    <w:multiLevelType w:val="hybridMultilevel"/>
    <w:tmpl w:val="D5C6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64D"/>
    <w:multiLevelType w:val="hybridMultilevel"/>
    <w:tmpl w:val="43E61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261"/>
    <w:multiLevelType w:val="hybridMultilevel"/>
    <w:tmpl w:val="1AF8DF7C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 w15:restartNumberingAfterBreak="0">
    <w:nsid w:val="0F9627FF"/>
    <w:multiLevelType w:val="hybridMultilevel"/>
    <w:tmpl w:val="2D98AA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CE2B2E"/>
    <w:multiLevelType w:val="hybridMultilevel"/>
    <w:tmpl w:val="219E32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2DDD"/>
    <w:multiLevelType w:val="hybridMultilevel"/>
    <w:tmpl w:val="C998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43B72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200F"/>
    <w:multiLevelType w:val="hybridMultilevel"/>
    <w:tmpl w:val="CE72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7610"/>
    <w:multiLevelType w:val="hybridMultilevel"/>
    <w:tmpl w:val="AB98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7738"/>
    <w:multiLevelType w:val="hybridMultilevel"/>
    <w:tmpl w:val="8C52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860"/>
    <w:multiLevelType w:val="hybridMultilevel"/>
    <w:tmpl w:val="961A0EE6"/>
    <w:lvl w:ilvl="0" w:tplc="2F02D1B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8E3AC0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74D7"/>
    <w:multiLevelType w:val="hybridMultilevel"/>
    <w:tmpl w:val="1102FD0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3A7A2966"/>
    <w:multiLevelType w:val="hybridMultilevel"/>
    <w:tmpl w:val="9A6EDD9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33215CB"/>
    <w:multiLevelType w:val="hybridMultilevel"/>
    <w:tmpl w:val="72B28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77BEF"/>
    <w:multiLevelType w:val="hybridMultilevel"/>
    <w:tmpl w:val="9A80CC42"/>
    <w:lvl w:ilvl="0" w:tplc="C7662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F7205"/>
    <w:multiLevelType w:val="hybridMultilevel"/>
    <w:tmpl w:val="007A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E45B0"/>
    <w:multiLevelType w:val="hybridMultilevel"/>
    <w:tmpl w:val="AF3AB9CE"/>
    <w:lvl w:ilvl="0" w:tplc="FB849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5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7"/>
    <w:rsid w:val="00007DB5"/>
    <w:rsid w:val="00017332"/>
    <w:rsid w:val="000248EE"/>
    <w:rsid w:val="00027157"/>
    <w:rsid w:val="00034621"/>
    <w:rsid w:val="00035366"/>
    <w:rsid w:val="00036350"/>
    <w:rsid w:val="000401EF"/>
    <w:rsid w:val="00060763"/>
    <w:rsid w:val="00091745"/>
    <w:rsid w:val="00092B80"/>
    <w:rsid w:val="000B5838"/>
    <w:rsid w:val="000C7BD0"/>
    <w:rsid w:val="000D2FA3"/>
    <w:rsid w:val="000D73C7"/>
    <w:rsid w:val="000E4364"/>
    <w:rsid w:val="000F63CB"/>
    <w:rsid w:val="00104D08"/>
    <w:rsid w:val="00133DF5"/>
    <w:rsid w:val="001343AA"/>
    <w:rsid w:val="00144621"/>
    <w:rsid w:val="00146531"/>
    <w:rsid w:val="001640B8"/>
    <w:rsid w:val="001A0249"/>
    <w:rsid w:val="001A53C9"/>
    <w:rsid w:val="001B0C5F"/>
    <w:rsid w:val="001B278F"/>
    <w:rsid w:val="001C3D01"/>
    <w:rsid w:val="001E6614"/>
    <w:rsid w:val="001F35C9"/>
    <w:rsid w:val="001F478E"/>
    <w:rsid w:val="001F6B40"/>
    <w:rsid w:val="00206611"/>
    <w:rsid w:val="00220665"/>
    <w:rsid w:val="00243BC7"/>
    <w:rsid w:val="0025546E"/>
    <w:rsid w:val="00256FB1"/>
    <w:rsid w:val="00267EB5"/>
    <w:rsid w:val="002B0699"/>
    <w:rsid w:val="002B7C49"/>
    <w:rsid w:val="002C6BFA"/>
    <w:rsid w:val="002D28DE"/>
    <w:rsid w:val="002F542C"/>
    <w:rsid w:val="00301A0D"/>
    <w:rsid w:val="003058D0"/>
    <w:rsid w:val="0031429B"/>
    <w:rsid w:val="00315E7E"/>
    <w:rsid w:val="00332A34"/>
    <w:rsid w:val="00345C39"/>
    <w:rsid w:val="00346100"/>
    <w:rsid w:val="00346776"/>
    <w:rsid w:val="0035316D"/>
    <w:rsid w:val="00354014"/>
    <w:rsid w:val="0035405F"/>
    <w:rsid w:val="003605B1"/>
    <w:rsid w:val="00381546"/>
    <w:rsid w:val="00382A33"/>
    <w:rsid w:val="003866D3"/>
    <w:rsid w:val="0038703E"/>
    <w:rsid w:val="003970AC"/>
    <w:rsid w:val="003A050B"/>
    <w:rsid w:val="003A491A"/>
    <w:rsid w:val="003B2735"/>
    <w:rsid w:val="003C6AC0"/>
    <w:rsid w:val="003D6ECD"/>
    <w:rsid w:val="003E5D8F"/>
    <w:rsid w:val="003F288E"/>
    <w:rsid w:val="00411766"/>
    <w:rsid w:val="00412F31"/>
    <w:rsid w:val="00422F64"/>
    <w:rsid w:val="00427D3E"/>
    <w:rsid w:val="00434427"/>
    <w:rsid w:val="00442F60"/>
    <w:rsid w:val="00446718"/>
    <w:rsid w:val="0045538C"/>
    <w:rsid w:val="00457F31"/>
    <w:rsid w:val="0046676D"/>
    <w:rsid w:val="0047125D"/>
    <w:rsid w:val="004751FF"/>
    <w:rsid w:val="00480946"/>
    <w:rsid w:val="004827DB"/>
    <w:rsid w:val="0049290C"/>
    <w:rsid w:val="004934F2"/>
    <w:rsid w:val="004963E7"/>
    <w:rsid w:val="004B6DD4"/>
    <w:rsid w:val="004D0199"/>
    <w:rsid w:val="004D52EA"/>
    <w:rsid w:val="004E6769"/>
    <w:rsid w:val="005007C2"/>
    <w:rsid w:val="00503150"/>
    <w:rsid w:val="0052651B"/>
    <w:rsid w:val="00542EB9"/>
    <w:rsid w:val="00557937"/>
    <w:rsid w:val="005772B8"/>
    <w:rsid w:val="00584125"/>
    <w:rsid w:val="00587DE3"/>
    <w:rsid w:val="0059345B"/>
    <w:rsid w:val="005A6CFB"/>
    <w:rsid w:val="005B6268"/>
    <w:rsid w:val="005C6901"/>
    <w:rsid w:val="005E4408"/>
    <w:rsid w:val="005E778D"/>
    <w:rsid w:val="005F3EE3"/>
    <w:rsid w:val="005F5416"/>
    <w:rsid w:val="00602D9E"/>
    <w:rsid w:val="0061127D"/>
    <w:rsid w:val="00623DB0"/>
    <w:rsid w:val="00624B66"/>
    <w:rsid w:val="00627BF3"/>
    <w:rsid w:val="006308FF"/>
    <w:rsid w:val="00633AA6"/>
    <w:rsid w:val="00637E3D"/>
    <w:rsid w:val="006660C5"/>
    <w:rsid w:val="00672BC0"/>
    <w:rsid w:val="00673149"/>
    <w:rsid w:val="006825C3"/>
    <w:rsid w:val="00694662"/>
    <w:rsid w:val="006D4DF3"/>
    <w:rsid w:val="006E1A39"/>
    <w:rsid w:val="006F10AC"/>
    <w:rsid w:val="00722B2C"/>
    <w:rsid w:val="00723DD3"/>
    <w:rsid w:val="0073476F"/>
    <w:rsid w:val="007468B0"/>
    <w:rsid w:val="00755B76"/>
    <w:rsid w:val="007627F3"/>
    <w:rsid w:val="00780464"/>
    <w:rsid w:val="00797E2B"/>
    <w:rsid w:val="007B482A"/>
    <w:rsid w:val="007B4DA9"/>
    <w:rsid w:val="007D10DA"/>
    <w:rsid w:val="008012BE"/>
    <w:rsid w:val="0080398E"/>
    <w:rsid w:val="00806810"/>
    <w:rsid w:val="00813DBB"/>
    <w:rsid w:val="0081639B"/>
    <w:rsid w:val="008200D1"/>
    <w:rsid w:val="00823624"/>
    <w:rsid w:val="0082551A"/>
    <w:rsid w:val="0083165A"/>
    <w:rsid w:val="0084621A"/>
    <w:rsid w:val="0084746D"/>
    <w:rsid w:val="008505C2"/>
    <w:rsid w:val="008604C6"/>
    <w:rsid w:val="00860DF2"/>
    <w:rsid w:val="00864E77"/>
    <w:rsid w:val="00872D3B"/>
    <w:rsid w:val="00883A11"/>
    <w:rsid w:val="00892CA4"/>
    <w:rsid w:val="008930A1"/>
    <w:rsid w:val="00894AAD"/>
    <w:rsid w:val="00897D2A"/>
    <w:rsid w:val="008B3A5D"/>
    <w:rsid w:val="008B6CD9"/>
    <w:rsid w:val="008C1B10"/>
    <w:rsid w:val="008D071C"/>
    <w:rsid w:val="008D2EC7"/>
    <w:rsid w:val="008D3071"/>
    <w:rsid w:val="008E2742"/>
    <w:rsid w:val="008F1747"/>
    <w:rsid w:val="008F3337"/>
    <w:rsid w:val="008F71F8"/>
    <w:rsid w:val="00913A53"/>
    <w:rsid w:val="00922D5D"/>
    <w:rsid w:val="00931DF7"/>
    <w:rsid w:val="0094247C"/>
    <w:rsid w:val="0095671C"/>
    <w:rsid w:val="009878AB"/>
    <w:rsid w:val="00993A93"/>
    <w:rsid w:val="00994842"/>
    <w:rsid w:val="00995481"/>
    <w:rsid w:val="009B579B"/>
    <w:rsid w:val="009C76D4"/>
    <w:rsid w:val="009E2640"/>
    <w:rsid w:val="009E45AA"/>
    <w:rsid w:val="00A075B3"/>
    <w:rsid w:val="00A123F8"/>
    <w:rsid w:val="00A176BC"/>
    <w:rsid w:val="00A36641"/>
    <w:rsid w:val="00A40ACE"/>
    <w:rsid w:val="00A43093"/>
    <w:rsid w:val="00A44C17"/>
    <w:rsid w:val="00A566FB"/>
    <w:rsid w:val="00A64705"/>
    <w:rsid w:val="00A7588B"/>
    <w:rsid w:val="00A761EE"/>
    <w:rsid w:val="00A81F63"/>
    <w:rsid w:val="00A862F2"/>
    <w:rsid w:val="00A86446"/>
    <w:rsid w:val="00A913A2"/>
    <w:rsid w:val="00AA0311"/>
    <w:rsid w:val="00AA70CA"/>
    <w:rsid w:val="00AA71E1"/>
    <w:rsid w:val="00AD29C2"/>
    <w:rsid w:val="00AD3E02"/>
    <w:rsid w:val="00AE1248"/>
    <w:rsid w:val="00AE5C75"/>
    <w:rsid w:val="00AF0386"/>
    <w:rsid w:val="00AF1D80"/>
    <w:rsid w:val="00AF436B"/>
    <w:rsid w:val="00AF51D0"/>
    <w:rsid w:val="00AF51E0"/>
    <w:rsid w:val="00B008EE"/>
    <w:rsid w:val="00B00C7E"/>
    <w:rsid w:val="00B023BB"/>
    <w:rsid w:val="00B04988"/>
    <w:rsid w:val="00B072B8"/>
    <w:rsid w:val="00B10092"/>
    <w:rsid w:val="00B12F00"/>
    <w:rsid w:val="00B13212"/>
    <w:rsid w:val="00B14461"/>
    <w:rsid w:val="00B30258"/>
    <w:rsid w:val="00B313D8"/>
    <w:rsid w:val="00B36F0A"/>
    <w:rsid w:val="00B52B40"/>
    <w:rsid w:val="00B5384B"/>
    <w:rsid w:val="00B62BFE"/>
    <w:rsid w:val="00B662EB"/>
    <w:rsid w:val="00B77055"/>
    <w:rsid w:val="00B7747F"/>
    <w:rsid w:val="00B81C8A"/>
    <w:rsid w:val="00B91306"/>
    <w:rsid w:val="00B9641C"/>
    <w:rsid w:val="00B966DD"/>
    <w:rsid w:val="00BB018E"/>
    <w:rsid w:val="00BC120D"/>
    <w:rsid w:val="00BD795B"/>
    <w:rsid w:val="00BE0877"/>
    <w:rsid w:val="00C139D7"/>
    <w:rsid w:val="00C305F7"/>
    <w:rsid w:val="00C36F97"/>
    <w:rsid w:val="00C473F3"/>
    <w:rsid w:val="00C524CF"/>
    <w:rsid w:val="00C573C5"/>
    <w:rsid w:val="00C77788"/>
    <w:rsid w:val="00C8544A"/>
    <w:rsid w:val="00C87C59"/>
    <w:rsid w:val="00C91869"/>
    <w:rsid w:val="00CF6223"/>
    <w:rsid w:val="00D066D5"/>
    <w:rsid w:val="00D06ACD"/>
    <w:rsid w:val="00D25716"/>
    <w:rsid w:val="00D340A5"/>
    <w:rsid w:val="00D44FB4"/>
    <w:rsid w:val="00D4514F"/>
    <w:rsid w:val="00D70973"/>
    <w:rsid w:val="00D7676C"/>
    <w:rsid w:val="00D9354F"/>
    <w:rsid w:val="00D978AF"/>
    <w:rsid w:val="00DA772C"/>
    <w:rsid w:val="00DA780B"/>
    <w:rsid w:val="00DB47BA"/>
    <w:rsid w:val="00DC3EF4"/>
    <w:rsid w:val="00DC788F"/>
    <w:rsid w:val="00DC7C4F"/>
    <w:rsid w:val="00DD4791"/>
    <w:rsid w:val="00DE08D5"/>
    <w:rsid w:val="00DF639F"/>
    <w:rsid w:val="00E00192"/>
    <w:rsid w:val="00E07B99"/>
    <w:rsid w:val="00E10667"/>
    <w:rsid w:val="00E1577A"/>
    <w:rsid w:val="00E170D2"/>
    <w:rsid w:val="00E266A1"/>
    <w:rsid w:val="00E66CD7"/>
    <w:rsid w:val="00E70DB0"/>
    <w:rsid w:val="00E739CA"/>
    <w:rsid w:val="00E90C4C"/>
    <w:rsid w:val="00EB0541"/>
    <w:rsid w:val="00EB0DA9"/>
    <w:rsid w:val="00EB0E6B"/>
    <w:rsid w:val="00EB4FC7"/>
    <w:rsid w:val="00EC767C"/>
    <w:rsid w:val="00EE2DF9"/>
    <w:rsid w:val="00EE39FA"/>
    <w:rsid w:val="00F01B79"/>
    <w:rsid w:val="00F125F3"/>
    <w:rsid w:val="00F14754"/>
    <w:rsid w:val="00F157D9"/>
    <w:rsid w:val="00F24903"/>
    <w:rsid w:val="00F2771D"/>
    <w:rsid w:val="00F27969"/>
    <w:rsid w:val="00F3006B"/>
    <w:rsid w:val="00F361E9"/>
    <w:rsid w:val="00F47AD4"/>
    <w:rsid w:val="00F54BA4"/>
    <w:rsid w:val="00F55128"/>
    <w:rsid w:val="00F7423B"/>
    <w:rsid w:val="00F74A01"/>
    <w:rsid w:val="00F915BE"/>
    <w:rsid w:val="00F93548"/>
    <w:rsid w:val="00F9498E"/>
    <w:rsid w:val="00F94EE6"/>
    <w:rsid w:val="00F95B61"/>
    <w:rsid w:val="00F96BAA"/>
    <w:rsid w:val="00FB18D5"/>
    <w:rsid w:val="00FC17E4"/>
    <w:rsid w:val="00FC7E7A"/>
    <w:rsid w:val="00FE09F7"/>
    <w:rsid w:val="00FF090D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29FA"/>
  <w15:docId w15:val="{F55954BF-BF67-4849-8388-1299053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F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C4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0A"/>
  </w:style>
  <w:style w:type="paragraph" w:styleId="Footer">
    <w:name w:val="footer"/>
    <w:basedOn w:val="Normal"/>
    <w:link w:val="FooterChar"/>
    <w:uiPriority w:val="99"/>
    <w:unhideWhenUsed/>
    <w:rsid w:val="00B3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0A"/>
  </w:style>
  <w:style w:type="paragraph" w:styleId="BalloonText">
    <w:name w:val="Balloon Text"/>
    <w:basedOn w:val="Normal"/>
    <w:link w:val="BalloonTextChar"/>
    <w:uiPriority w:val="99"/>
    <w:semiHidden/>
    <w:unhideWhenUsed/>
    <w:rsid w:val="002F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2F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54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42C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C7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C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C7C4F"/>
    <w:pPr>
      <w:spacing w:after="0" w:line="240" w:lineRule="auto"/>
    </w:pPr>
  </w:style>
  <w:style w:type="paragraph" w:customStyle="1" w:styleId="Default">
    <w:name w:val="Default"/>
    <w:rsid w:val="000346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manprof</dc:creator>
  <cp:lastModifiedBy>Darren Mountford</cp:lastModifiedBy>
  <cp:revision>2</cp:revision>
  <dcterms:created xsi:type="dcterms:W3CDTF">2021-11-04T14:04:00Z</dcterms:created>
  <dcterms:modified xsi:type="dcterms:W3CDTF">2021-11-04T14:04:00Z</dcterms:modified>
</cp:coreProperties>
</file>